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Default="004945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49459A" w:rsidRDefault="0049459A" w:rsidP="00494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PHIẾU HƯỚNG DẪN HỌC MÔN: LỊCH SỬ 8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TUẦN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10)</w:t>
      </w:r>
    </w:p>
    <w:p w:rsidR="0049459A" w:rsidRDefault="0049459A">
      <w:pPr>
        <w:rPr>
          <w:rFonts w:ascii="Times New Roman" w:hAnsi="Times New Roman"/>
          <w:b/>
          <w:bCs/>
          <w:sz w:val="28"/>
          <w:szCs w:val="28"/>
          <w:lang w:val="pt-BR"/>
        </w:rPr>
      </w:pPr>
      <w:r w:rsidRPr="0049459A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Bài 10:</w:t>
      </w:r>
      <w:r w:rsidRPr="0049459A">
        <w:rPr>
          <w:rFonts w:ascii="Times New Roman" w:hAnsi="Times New Roman"/>
          <w:b/>
          <w:bCs/>
          <w:sz w:val="28"/>
          <w:szCs w:val="28"/>
          <w:lang w:val="pt-BR"/>
        </w:rPr>
        <w:t xml:space="preserve">    TRUNG QUỐC CUỐI THẾ KỈ XIX –ĐẦU THẾ KỈ XX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Pr="004945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HS: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Đọc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mục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1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hợp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q/s H42 (SGK)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 :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+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Tình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hình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nửa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sau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t/k XIX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ntn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+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nhau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xâm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chiếm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ntn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49459A" w:rsidRDefault="0049459A" w:rsidP="0049459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+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Vì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sao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lại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xâu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xé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như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vậy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I. Trung </w:t>
      </w:r>
      <w:proofErr w:type="spellStart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bị</w:t>
      </w:r>
      <w:proofErr w:type="spellEnd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nước</w:t>
      </w:r>
      <w:proofErr w:type="spellEnd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ĐQ chia </w:t>
      </w:r>
      <w:proofErr w:type="spellStart"/>
      <w:r w:rsidRPr="004945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xẻ</w:t>
      </w:r>
      <w:proofErr w:type="spellEnd"/>
      <w:r w:rsidRPr="0049459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a.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Nguyên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Trung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gia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rộng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lớn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đông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Cuối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thế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kỉ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XIX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triều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p/k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Mãn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Thanh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suy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yếu</w:t>
      </w:r>
      <w:proofErr w:type="spellEnd"/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b.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chiến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xâm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lược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+ 1840-1842 Anh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tiến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hành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chiến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thuốc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phiện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mở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đầu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xâm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lược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Trung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Quốc</w:t>
      </w:r>
      <w:proofErr w:type="spellEnd"/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+ 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ĐQ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Âu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Mĩ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Nhật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Bản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tăng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cường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xâm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lược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TQ</w:t>
      </w:r>
    </w:p>
    <w:p w:rsid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AD07" wp14:editId="63E1BC75">
                <wp:simplePos x="0" y="0"/>
                <wp:positionH relativeFrom="column">
                  <wp:posOffset>13970</wp:posOffset>
                </wp:positionH>
                <wp:positionV relativeFrom="paragraph">
                  <wp:posOffset>92710</wp:posOffset>
                </wp:positionV>
                <wp:extent cx="177800" cy="0"/>
                <wp:effectExtent l="13970" t="54610" r="17780" b="596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3pt" to="15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fZMA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">
                <v:stroke endarrow="block"/>
              </v:line>
            </w:pict>
          </mc:Fallback>
        </mc:AlternateContent>
      </w: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TQ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thuộc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địa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phong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iến</w:t>
      </w:r>
      <w:proofErr w:type="spellEnd"/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HS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đọc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mục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II (SGK)</w:t>
      </w:r>
    </w:p>
    <w:p w:rsidR="0049459A" w:rsidRPr="0049459A" w:rsidRDefault="0049459A" w:rsidP="004945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hỏi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hàn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dưới</w:t>
      </w:r>
      <w:proofErr w:type="spellEnd"/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+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Nguyên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đến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đấu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 ?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+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Lập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bảng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thống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kê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đấu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tranh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332"/>
        <w:gridCol w:w="1710"/>
        <w:gridCol w:w="2970"/>
      </w:tblGrid>
      <w:tr w:rsidR="0049459A" w:rsidRPr="0049459A" w:rsidTr="0049459A">
        <w:tc>
          <w:tcPr>
            <w:tcW w:w="1709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459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Phong trào đấu tranh</w:t>
            </w:r>
          </w:p>
        </w:tc>
        <w:tc>
          <w:tcPr>
            <w:tcW w:w="2332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459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Người khởi xướng</w:t>
            </w:r>
          </w:p>
        </w:tc>
        <w:tc>
          <w:tcPr>
            <w:tcW w:w="1710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459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Hình thức đấu tranh</w:t>
            </w:r>
          </w:p>
        </w:tc>
        <w:tc>
          <w:tcPr>
            <w:tcW w:w="2970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459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Kết quả và ý nghĩa</w:t>
            </w:r>
          </w:p>
        </w:tc>
      </w:tr>
      <w:tr w:rsidR="0049459A" w:rsidRPr="0049459A" w:rsidTr="0049459A">
        <w:tc>
          <w:tcPr>
            <w:tcW w:w="1709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459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Cuộc vận đông Duy tân</w:t>
            </w:r>
          </w:p>
        </w:tc>
        <w:tc>
          <w:tcPr>
            <w:tcW w:w="2332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10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70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9459A" w:rsidRPr="0049459A" w:rsidTr="0049459A">
        <w:tc>
          <w:tcPr>
            <w:tcW w:w="1709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459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Phong trào Nghĩa Hòa Đoàn</w:t>
            </w:r>
          </w:p>
        </w:tc>
        <w:tc>
          <w:tcPr>
            <w:tcW w:w="2332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10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70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9459A" w:rsidRPr="0049459A" w:rsidTr="0049459A">
        <w:tc>
          <w:tcPr>
            <w:tcW w:w="1709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9459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Cách mạng Tân Hợi</w:t>
            </w:r>
          </w:p>
        </w:tc>
        <w:tc>
          <w:tcPr>
            <w:tcW w:w="2332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10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70" w:type="dxa"/>
          </w:tcPr>
          <w:p w:rsidR="0049459A" w:rsidRPr="0049459A" w:rsidRDefault="0049459A" w:rsidP="0049459A">
            <w:pPr>
              <w:spacing w:after="0"/>
              <w:ind w:right="-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</w:pPr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II.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đấu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tranh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của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nhân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Trung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cuối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thế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kỉ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XIX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đầu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thế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kỉ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XX: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Hướng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sinh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lập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niên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biểu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a.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Nguyên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nhân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: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nước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đế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xâm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lược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-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Triều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đình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Mãn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Thanh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thỏa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hiệp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 xml:space="preserve">b.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>đấu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>tranh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- 1850 – 1864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Thiên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- 1898,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TKXIX –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TKXX,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 xml:space="preserve">c.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>Kết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>quả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proofErr w:type="spellStart"/>
      <w:proofErr w:type="gramStart"/>
      <w:r w:rsidRPr="0049459A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</w:rPr>
        <w:t>bại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H44 (SGK)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mục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III </w:t>
      </w: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hỏi</w:t>
      </w:r>
      <w:proofErr w:type="spellEnd"/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Minh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Hội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lập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ntn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Mục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tiêu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TQ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Minh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Hội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gì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49459A" w:rsidRDefault="0049459A" w:rsidP="0049459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Nguyên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nhân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diễn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biến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c/m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Hợi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?</w:t>
      </w:r>
    </w:p>
    <w:p w:rsidR="0049459A" w:rsidRPr="0049459A" w:rsidRDefault="0049459A" w:rsidP="0049459A">
      <w:pPr>
        <w:spacing w:after="0"/>
        <w:ind w:right="-25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III.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Cách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mạng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Tân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>Hợi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fr-FR"/>
        </w:rPr>
        <w:t xml:space="preserve"> (1911)</w:t>
      </w:r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1.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Tôn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Trung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Sơn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Học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thuyết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Tam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Tôn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Trung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Sơn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(1866 – 1925).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- 8/1905 Trung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Đồng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minh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hội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thành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lập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mục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tiêu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–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tộc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độc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lập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quyền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tự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do,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sinh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hạnh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phúc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.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Nhằm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“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đánh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đánh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đổ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Mãn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Thanh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khôi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phục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Trung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Hoa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thành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lập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,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thực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hiện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bình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đẳng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về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ruộng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đất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2.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Cách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mạng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Tân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Hợi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1911.</w:t>
      </w:r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</w:pP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a.Nguyên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nhân</w:t>
      </w:r>
      <w:proofErr w:type="spellEnd"/>
    </w:p>
    <w:p w:rsidR="0049459A" w:rsidRPr="0049459A" w:rsidRDefault="0049459A" w:rsidP="004945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</w:t>
      </w: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9/5/1911,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quyền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Mãn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Thanh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bán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rẻ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quyền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lợi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tộc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b.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Diễn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biến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: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+ 10/10/1911: K/n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bùng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nổ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Vũ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Xương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…</w:t>
      </w:r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+ 29/12/1911: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Chính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phủ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lâm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thời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thà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Trung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Hoa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Chủ</w:t>
      </w:r>
      <w:proofErr w:type="spellEnd"/>
    </w:p>
    <w:p w:rsidR="0049459A" w:rsidRPr="0049459A" w:rsidRDefault="0049459A" w:rsidP="0049459A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c.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Tính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/>
        </w:rPr>
        <w:t>chất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: là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cuộc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cách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mạng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chủ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tư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sản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không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triệt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để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.</w:t>
      </w:r>
      <w:proofErr w:type="gramEnd"/>
    </w:p>
    <w:p w:rsidR="0049459A" w:rsidRDefault="0049459A" w:rsidP="0049459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d.Ý</w:t>
      </w:r>
      <w:proofErr w:type="spellEnd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>nghĩa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: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tạo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điều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kiện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CNTB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phát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triển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ở Trung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Quốc.Ảnh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hưởng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đối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với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phong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trào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giải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phóng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dân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tộc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ở </w:t>
      </w:r>
      <w:proofErr w:type="spellStart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>châu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Á</w:t>
      </w:r>
    </w:p>
    <w:p w:rsidR="0049459A" w:rsidRPr="0049459A" w:rsidRDefault="0049459A" w:rsidP="0049459A">
      <w:pPr>
        <w:spacing w:after="0"/>
        <w:ind w:left="720" w:right="-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9459A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Nếu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em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Hoàng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Đế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Trung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cuối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thế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kỉ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XIX ,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em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sẽ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quyết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định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thế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nào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trước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nguy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cơ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xâm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lược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nước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đế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quốc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9459A">
        <w:rPr>
          <w:rFonts w:ascii="Times New Roman" w:eastAsia="Times New Roman" w:hAnsi="Times New Roman" w:cs="Times New Roman"/>
          <w:bCs/>
          <w:sz w:val="28"/>
          <w:szCs w:val="28"/>
        </w:rPr>
        <w:t>Tây</w:t>
      </w:r>
      <w:proofErr w:type="spellEnd"/>
      <w:r w:rsidRPr="00494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459A" w:rsidRPr="0049459A" w:rsidRDefault="0049459A" w:rsidP="0049459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9459A" w:rsidRPr="0049459A" w:rsidSect="0049459A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822A1"/>
    <w:multiLevelType w:val="hybridMultilevel"/>
    <w:tmpl w:val="85CC6DF8"/>
    <w:lvl w:ilvl="0" w:tplc="25324F72">
      <w:numFmt w:val="bullet"/>
      <w:lvlText w:val="-"/>
      <w:lvlJc w:val="left"/>
      <w:pPr>
        <w:ind w:left="108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6C6B59E">
      <w:numFmt w:val="bullet"/>
      <w:lvlText w:val="•"/>
      <w:lvlJc w:val="left"/>
      <w:pPr>
        <w:ind w:left="410" w:hanging="310"/>
      </w:pPr>
      <w:rPr>
        <w:rFonts w:hint="default"/>
        <w:lang w:val="vi" w:eastAsia="en-US" w:bidi="ar-SA"/>
      </w:rPr>
    </w:lvl>
    <w:lvl w:ilvl="2" w:tplc="FBF47F56">
      <w:numFmt w:val="bullet"/>
      <w:lvlText w:val="•"/>
      <w:lvlJc w:val="left"/>
      <w:pPr>
        <w:ind w:left="721" w:hanging="310"/>
      </w:pPr>
      <w:rPr>
        <w:rFonts w:hint="default"/>
        <w:lang w:val="vi" w:eastAsia="en-US" w:bidi="ar-SA"/>
      </w:rPr>
    </w:lvl>
    <w:lvl w:ilvl="3" w:tplc="90CEB064">
      <w:numFmt w:val="bullet"/>
      <w:lvlText w:val="•"/>
      <w:lvlJc w:val="left"/>
      <w:pPr>
        <w:ind w:left="1031" w:hanging="310"/>
      </w:pPr>
      <w:rPr>
        <w:rFonts w:hint="default"/>
        <w:lang w:val="vi" w:eastAsia="en-US" w:bidi="ar-SA"/>
      </w:rPr>
    </w:lvl>
    <w:lvl w:ilvl="4" w:tplc="7CF648C8">
      <w:numFmt w:val="bullet"/>
      <w:lvlText w:val="•"/>
      <w:lvlJc w:val="left"/>
      <w:pPr>
        <w:ind w:left="1342" w:hanging="310"/>
      </w:pPr>
      <w:rPr>
        <w:rFonts w:hint="default"/>
        <w:lang w:val="vi" w:eastAsia="en-US" w:bidi="ar-SA"/>
      </w:rPr>
    </w:lvl>
    <w:lvl w:ilvl="5" w:tplc="84C4CD8C">
      <w:numFmt w:val="bullet"/>
      <w:lvlText w:val="•"/>
      <w:lvlJc w:val="left"/>
      <w:pPr>
        <w:ind w:left="1653" w:hanging="310"/>
      </w:pPr>
      <w:rPr>
        <w:rFonts w:hint="default"/>
        <w:lang w:val="vi" w:eastAsia="en-US" w:bidi="ar-SA"/>
      </w:rPr>
    </w:lvl>
    <w:lvl w:ilvl="6" w:tplc="055A8C74">
      <w:numFmt w:val="bullet"/>
      <w:lvlText w:val="•"/>
      <w:lvlJc w:val="left"/>
      <w:pPr>
        <w:ind w:left="1963" w:hanging="310"/>
      </w:pPr>
      <w:rPr>
        <w:rFonts w:hint="default"/>
        <w:lang w:val="vi" w:eastAsia="en-US" w:bidi="ar-SA"/>
      </w:rPr>
    </w:lvl>
    <w:lvl w:ilvl="7" w:tplc="BF06EAE4">
      <w:numFmt w:val="bullet"/>
      <w:lvlText w:val="•"/>
      <w:lvlJc w:val="left"/>
      <w:pPr>
        <w:ind w:left="2274" w:hanging="310"/>
      </w:pPr>
      <w:rPr>
        <w:rFonts w:hint="default"/>
        <w:lang w:val="vi" w:eastAsia="en-US" w:bidi="ar-SA"/>
      </w:rPr>
    </w:lvl>
    <w:lvl w:ilvl="8" w:tplc="B3D8F654">
      <w:numFmt w:val="bullet"/>
      <w:lvlText w:val="•"/>
      <w:lvlJc w:val="left"/>
      <w:pPr>
        <w:ind w:left="2584" w:hanging="31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9A"/>
    <w:rsid w:val="00160A31"/>
    <w:rsid w:val="0049459A"/>
    <w:rsid w:val="007678EF"/>
    <w:rsid w:val="00B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3</cp:revision>
  <dcterms:created xsi:type="dcterms:W3CDTF">2021-11-10T03:46:00Z</dcterms:created>
  <dcterms:modified xsi:type="dcterms:W3CDTF">2021-11-13T00:42:00Z</dcterms:modified>
</cp:coreProperties>
</file>